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9E" w:rsidRDefault="0089409E" w:rsidP="0089409E">
      <w:pPr>
        <w:ind w:left="-851"/>
        <w:jc w:val="both"/>
        <w:rPr>
          <w:rFonts w:asciiTheme="minorHAnsi" w:hAnsiTheme="minorHAnsi" w:cs="Calibri"/>
          <w:b/>
          <w:sz w:val="28"/>
          <w:szCs w:val="28"/>
          <w:u w:val="single"/>
        </w:rPr>
      </w:pPr>
      <w:r>
        <w:rPr>
          <w:rFonts w:asciiTheme="minorHAnsi" w:hAnsiTheme="minorHAnsi" w:cs="Calibri"/>
          <w:b/>
          <w:sz w:val="28"/>
          <w:szCs w:val="28"/>
          <w:u w:val="single"/>
        </w:rPr>
        <w:t>Routine Child Immunisation Programme from January 2020</w:t>
      </w:r>
    </w:p>
    <w:p w:rsidR="0089409E" w:rsidRDefault="0089409E" w:rsidP="0089409E">
      <w:pPr>
        <w:ind w:left="-851"/>
        <w:jc w:val="both"/>
        <w:rPr>
          <w:rFonts w:asciiTheme="minorHAnsi" w:hAnsiTheme="minorHAnsi" w:cs="Calibri"/>
          <w:b/>
          <w:sz w:val="28"/>
          <w:szCs w:val="28"/>
          <w:u w:val="single"/>
        </w:rPr>
      </w:pPr>
    </w:p>
    <w:tbl>
      <w:tblPr>
        <w:tblStyle w:val="TableGrid"/>
        <w:tblW w:w="10315" w:type="dxa"/>
        <w:tblInd w:w="-851" w:type="dxa"/>
        <w:tblLook w:val="04A0" w:firstRow="1" w:lastRow="0" w:firstColumn="1" w:lastColumn="0" w:noHBand="0" w:noVBand="1"/>
      </w:tblPr>
      <w:tblGrid>
        <w:gridCol w:w="2519"/>
        <w:gridCol w:w="4961"/>
        <w:gridCol w:w="2835"/>
      </w:tblGrid>
      <w:tr w:rsidR="0089409E" w:rsidTr="002100D3">
        <w:tc>
          <w:tcPr>
            <w:tcW w:w="2519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When to Immunise</w:t>
            </w:r>
          </w:p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Disease</w:t>
            </w:r>
            <w:r>
              <w:rPr>
                <w:rFonts w:asciiTheme="minorHAnsi" w:hAnsiTheme="minorHAnsi" w:cs="Calibri"/>
                <w:sz w:val="28"/>
                <w:szCs w:val="28"/>
              </w:rPr>
              <w:t xml:space="preserve"> P</w:t>
            </w:r>
            <w:r w:rsidRPr="00873171">
              <w:rPr>
                <w:rFonts w:asciiTheme="minorHAnsi" w:hAnsiTheme="minorHAnsi" w:cs="Calibri"/>
                <w:sz w:val="28"/>
                <w:szCs w:val="28"/>
              </w:rPr>
              <w:t>rotected Against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Vaccine Given</w:t>
            </w:r>
          </w:p>
        </w:tc>
      </w:tr>
      <w:tr w:rsidR="0089409E" w:rsidTr="002100D3">
        <w:tc>
          <w:tcPr>
            <w:tcW w:w="2519" w:type="dxa"/>
            <w:vMerge w:val="restart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Eight weeks old</w:t>
            </w: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Diphtheria, tetanus, pertussis (whooping cough), polio, Haemophilus influenzae type B (Hib) and hepatitis B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 xml:space="preserve">Infanrix </w:t>
            </w:r>
            <w:proofErr w:type="spellStart"/>
            <w:r w:rsidRPr="00873171">
              <w:rPr>
                <w:rFonts w:asciiTheme="minorHAnsi" w:hAnsiTheme="minorHAnsi" w:cs="Calibri"/>
                <w:sz w:val="28"/>
                <w:szCs w:val="28"/>
              </w:rPr>
              <w:t>hexa</w:t>
            </w:r>
            <w:proofErr w:type="spellEnd"/>
          </w:p>
        </w:tc>
      </w:tr>
      <w:tr w:rsidR="0089409E" w:rsidTr="002100D3">
        <w:tc>
          <w:tcPr>
            <w:tcW w:w="2519" w:type="dxa"/>
            <w:vMerge/>
          </w:tcPr>
          <w:p w:rsidR="0089409E" w:rsidRDefault="0089409E" w:rsidP="002100D3">
            <w:pPr>
              <w:jc w:val="both"/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Meningococcal group B (</w:t>
            </w:r>
            <w:proofErr w:type="spellStart"/>
            <w:r w:rsidRPr="00873171">
              <w:rPr>
                <w:rFonts w:asciiTheme="minorHAnsi" w:hAnsiTheme="minorHAnsi" w:cs="Calibri"/>
                <w:sz w:val="28"/>
                <w:szCs w:val="28"/>
              </w:rPr>
              <w:t>MenB</w:t>
            </w:r>
            <w:proofErr w:type="spellEnd"/>
            <w:r w:rsidRPr="00873171">
              <w:rPr>
                <w:rFonts w:asciiTheme="minorHAnsi" w:hAnsiTheme="minorHAnsi" w:cs="Calibri"/>
                <w:sz w:val="28"/>
                <w:szCs w:val="28"/>
              </w:rPr>
              <w:t>)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873171">
              <w:rPr>
                <w:rFonts w:asciiTheme="minorHAnsi" w:hAnsiTheme="minorHAnsi" w:cs="Calibri"/>
                <w:sz w:val="28"/>
                <w:szCs w:val="28"/>
              </w:rPr>
              <w:t>Bexsero</w:t>
            </w:r>
            <w:proofErr w:type="spellEnd"/>
          </w:p>
        </w:tc>
      </w:tr>
      <w:tr w:rsidR="0089409E" w:rsidTr="002100D3">
        <w:tc>
          <w:tcPr>
            <w:tcW w:w="2519" w:type="dxa"/>
            <w:vMerge/>
          </w:tcPr>
          <w:p w:rsidR="0089409E" w:rsidRDefault="0089409E" w:rsidP="002100D3">
            <w:pPr>
              <w:jc w:val="both"/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Rotavirus gastroenteritis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873171">
              <w:rPr>
                <w:rFonts w:asciiTheme="minorHAnsi" w:hAnsiTheme="minorHAnsi" w:cs="Calibri"/>
                <w:sz w:val="28"/>
                <w:szCs w:val="28"/>
              </w:rPr>
              <w:t>Rotarix</w:t>
            </w:r>
            <w:proofErr w:type="spellEnd"/>
          </w:p>
        </w:tc>
      </w:tr>
      <w:tr w:rsidR="0089409E" w:rsidTr="002100D3">
        <w:tc>
          <w:tcPr>
            <w:tcW w:w="2519" w:type="dxa"/>
            <w:vMerge w:val="restart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Twelve Weeks old</w:t>
            </w: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Diphtheria, tetanus, pertussis, polio, Hib and hepatitis B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 xml:space="preserve">Infanrix </w:t>
            </w:r>
            <w:proofErr w:type="spellStart"/>
            <w:r w:rsidRPr="00873171">
              <w:rPr>
                <w:rFonts w:asciiTheme="minorHAnsi" w:hAnsiTheme="minorHAnsi" w:cs="Calibri"/>
                <w:sz w:val="28"/>
                <w:szCs w:val="28"/>
              </w:rPr>
              <w:t>hexa</w:t>
            </w:r>
            <w:proofErr w:type="spellEnd"/>
          </w:p>
        </w:tc>
      </w:tr>
      <w:tr w:rsidR="0089409E" w:rsidTr="002100D3">
        <w:tc>
          <w:tcPr>
            <w:tcW w:w="2519" w:type="dxa"/>
            <w:vMerge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 xml:space="preserve">Pneumococcal 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Prevenar 13</w:t>
            </w:r>
          </w:p>
        </w:tc>
      </w:tr>
      <w:tr w:rsidR="0089409E" w:rsidTr="002100D3">
        <w:tc>
          <w:tcPr>
            <w:tcW w:w="2519" w:type="dxa"/>
            <w:vMerge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Rotavirus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873171">
              <w:rPr>
                <w:rFonts w:asciiTheme="minorHAnsi" w:hAnsiTheme="minorHAnsi" w:cs="Calibri"/>
                <w:sz w:val="28"/>
                <w:szCs w:val="28"/>
              </w:rPr>
              <w:t>Rotarix</w:t>
            </w:r>
            <w:proofErr w:type="spellEnd"/>
          </w:p>
        </w:tc>
      </w:tr>
      <w:tr w:rsidR="0089409E" w:rsidTr="002100D3">
        <w:tc>
          <w:tcPr>
            <w:tcW w:w="2519" w:type="dxa"/>
            <w:vMerge w:val="restart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Sixteen Weeks old</w:t>
            </w: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Diphtheria, tetanus, pertussis, polio, Hib and hepatitis B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 xml:space="preserve">Infanrix </w:t>
            </w:r>
            <w:proofErr w:type="spellStart"/>
            <w:r w:rsidRPr="00873171">
              <w:rPr>
                <w:rFonts w:asciiTheme="minorHAnsi" w:hAnsiTheme="minorHAnsi" w:cs="Calibri"/>
                <w:sz w:val="28"/>
                <w:szCs w:val="28"/>
              </w:rPr>
              <w:t>hexa</w:t>
            </w:r>
            <w:proofErr w:type="spellEnd"/>
          </w:p>
        </w:tc>
      </w:tr>
      <w:tr w:rsidR="0089409E" w:rsidTr="002100D3">
        <w:tc>
          <w:tcPr>
            <w:tcW w:w="2519" w:type="dxa"/>
            <w:vMerge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873171">
              <w:rPr>
                <w:rFonts w:asciiTheme="minorHAnsi" w:hAnsiTheme="minorHAnsi" w:cs="Calibri"/>
                <w:sz w:val="28"/>
                <w:szCs w:val="28"/>
              </w:rPr>
              <w:t>Men B</w:t>
            </w:r>
          </w:p>
        </w:tc>
        <w:tc>
          <w:tcPr>
            <w:tcW w:w="2835" w:type="dxa"/>
          </w:tcPr>
          <w:p w:rsidR="0089409E" w:rsidRPr="00873171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873171">
              <w:rPr>
                <w:rFonts w:asciiTheme="minorHAnsi" w:hAnsiTheme="minorHAnsi" w:cs="Calibri"/>
                <w:sz w:val="28"/>
                <w:szCs w:val="28"/>
              </w:rPr>
              <w:t>Bexsero</w:t>
            </w:r>
            <w:proofErr w:type="spellEnd"/>
          </w:p>
        </w:tc>
      </w:tr>
      <w:tr w:rsidR="0089409E" w:rsidTr="002100D3">
        <w:tc>
          <w:tcPr>
            <w:tcW w:w="2519" w:type="dxa"/>
            <w:vMerge w:val="restart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One Year old (on or after the child’s first birthday)</w:t>
            </w:r>
          </w:p>
        </w:tc>
        <w:tc>
          <w:tcPr>
            <w:tcW w:w="4961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Hib and Men C</w:t>
            </w:r>
          </w:p>
        </w:tc>
        <w:tc>
          <w:tcPr>
            <w:tcW w:w="2835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4F6526">
              <w:rPr>
                <w:rFonts w:asciiTheme="minorHAnsi" w:hAnsiTheme="minorHAnsi" w:cs="Calibri"/>
                <w:sz w:val="28"/>
                <w:szCs w:val="28"/>
              </w:rPr>
              <w:t>Menitorix</w:t>
            </w:r>
            <w:proofErr w:type="spellEnd"/>
          </w:p>
        </w:tc>
      </w:tr>
      <w:tr w:rsidR="0089409E" w:rsidTr="002100D3">
        <w:tc>
          <w:tcPr>
            <w:tcW w:w="2519" w:type="dxa"/>
            <w:vMerge/>
          </w:tcPr>
          <w:p w:rsidR="0089409E" w:rsidRDefault="0089409E" w:rsidP="002100D3">
            <w:pPr>
              <w:jc w:val="both"/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Pneumococcal</w:t>
            </w:r>
          </w:p>
        </w:tc>
        <w:tc>
          <w:tcPr>
            <w:tcW w:w="2835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Prevenar 13</w:t>
            </w:r>
          </w:p>
        </w:tc>
      </w:tr>
      <w:tr w:rsidR="0089409E" w:rsidTr="002100D3">
        <w:tc>
          <w:tcPr>
            <w:tcW w:w="2519" w:type="dxa"/>
            <w:vMerge/>
          </w:tcPr>
          <w:p w:rsidR="0089409E" w:rsidRDefault="0089409E" w:rsidP="002100D3">
            <w:pPr>
              <w:jc w:val="both"/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 xml:space="preserve">Measles, Mumps and Rubella (German Measles) </w:t>
            </w:r>
          </w:p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Priorix</w:t>
            </w:r>
          </w:p>
        </w:tc>
      </w:tr>
      <w:tr w:rsidR="0089409E" w:rsidTr="002100D3">
        <w:tc>
          <w:tcPr>
            <w:tcW w:w="2519" w:type="dxa"/>
            <w:vMerge/>
          </w:tcPr>
          <w:p w:rsidR="0089409E" w:rsidRDefault="0089409E" w:rsidP="002100D3">
            <w:pPr>
              <w:jc w:val="both"/>
              <w:rPr>
                <w:rFonts w:asciiTheme="minorHAnsi" w:hAnsiTheme="minorHAnsi" w:cs="Calibri"/>
                <w:b/>
                <w:sz w:val="28"/>
                <w:szCs w:val="28"/>
                <w:u w:val="single"/>
              </w:rPr>
            </w:pPr>
          </w:p>
        </w:tc>
        <w:tc>
          <w:tcPr>
            <w:tcW w:w="4961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Men B</w:t>
            </w:r>
          </w:p>
        </w:tc>
        <w:tc>
          <w:tcPr>
            <w:tcW w:w="2835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4F6526">
              <w:rPr>
                <w:rFonts w:asciiTheme="minorHAnsi" w:hAnsiTheme="minorHAnsi" w:cs="Calibri"/>
                <w:sz w:val="28"/>
                <w:szCs w:val="28"/>
              </w:rPr>
              <w:t>Bexsero</w:t>
            </w:r>
            <w:proofErr w:type="spellEnd"/>
          </w:p>
        </w:tc>
      </w:tr>
      <w:tr w:rsidR="0089409E" w:rsidTr="002100D3">
        <w:tc>
          <w:tcPr>
            <w:tcW w:w="2519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Eligible paediatric age group</w:t>
            </w:r>
          </w:p>
        </w:tc>
        <w:tc>
          <w:tcPr>
            <w:tcW w:w="4961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Influenza (each year from September)</w:t>
            </w:r>
          </w:p>
        </w:tc>
        <w:tc>
          <w:tcPr>
            <w:tcW w:w="2835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4F6526">
              <w:rPr>
                <w:rFonts w:asciiTheme="minorHAnsi" w:hAnsiTheme="minorHAnsi" w:cs="Calibri"/>
                <w:sz w:val="28"/>
                <w:szCs w:val="28"/>
              </w:rPr>
              <w:t>Fluenz</w:t>
            </w:r>
            <w:proofErr w:type="spellEnd"/>
            <w:r w:rsidRPr="004F6526">
              <w:rPr>
                <w:rFonts w:asciiTheme="minorHAnsi" w:hAnsiTheme="minorHAnsi" w:cs="Calibri"/>
                <w:sz w:val="28"/>
                <w:szCs w:val="28"/>
              </w:rPr>
              <w:t xml:space="preserve"> Tetra</w:t>
            </w:r>
          </w:p>
        </w:tc>
      </w:tr>
      <w:tr w:rsidR="0089409E" w:rsidTr="002100D3">
        <w:tc>
          <w:tcPr>
            <w:tcW w:w="2519" w:type="dxa"/>
            <w:vMerge w:val="restart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Three years four months old or soon after</w:t>
            </w:r>
          </w:p>
        </w:tc>
        <w:tc>
          <w:tcPr>
            <w:tcW w:w="4961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Diphtheria, tetanus, pertussis and polio</w:t>
            </w:r>
          </w:p>
        </w:tc>
        <w:tc>
          <w:tcPr>
            <w:tcW w:w="2835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proofErr w:type="spellStart"/>
            <w:r w:rsidRPr="004F6526">
              <w:rPr>
                <w:rFonts w:asciiTheme="minorHAnsi" w:hAnsiTheme="minorHAnsi" w:cs="Calibri"/>
                <w:sz w:val="28"/>
                <w:szCs w:val="28"/>
              </w:rPr>
              <w:t>Repevax</w:t>
            </w:r>
            <w:proofErr w:type="spellEnd"/>
            <w:r w:rsidRPr="004F6526">
              <w:rPr>
                <w:rFonts w:asciiTheme="minorHAnsi" w:hAnsiTheme="minorHAnsi" w:cs="Calibri"/>
                <w:sz w:val="28"/>
                <w:szCs w:val="28"/>
              </w:rPr>
              <w:t xml:space="preserve"> or </w:t>
            </w:r>
            <w:proofErr w:type="spellStart"/>
            <w:r w:rsidRPr="004F6526">
              <w:rPr>
                <w:rFonts w:asciiTheme="minorHAnsi" w:hAnsiTheme="minorHAnsi" w:cs="Calibri"/>
                <w:sz w:val="28"/>
                <w:szCs w:val="28"/>
              </w:rPr>
              <w:t>Boostrix</w:t>
            </w:r>
            <w:proofErr w:type="spellEnd"/>
          </w:p>
        </w:tc>
      </w:tr>
      <w:tr w:rsidR="0089409E" w:rsidTr="002100D3">
        <w:tc>
          <w:tcPr>
            <w:tcW w:w="2519" w:type="dxa"/>
            <w:vMerge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</w:p>
        </w:tc>
        <w:tc>
          <w:tcPr>
            <w:tcW w:w="4961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Measles, Mumps and Rubella</w:t>
            </w:r>
          </w:p>
        </w:tc>
        <w:tc>
          <w:tcPr>
            <w:tcW w:w="2835" w:type="dxa"/>
          </w:tcPr>
          <w:p w:rsidR="0089409E" w:rsidRPr="004F6526" w:rsidRDefault="0089409E" w:rsidP="002100D3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r w:rsidRPr="004F6526">
              <w:rPr>
                <w:rFonts w:asciiTheme="minorHAnsi" w:hAnsiTheme="minorHAnsi" w:cs="Calibri"/>
                <w:sz w:val="28"/>
                <w:szCs w:val="28"/>
              </w:rPr>
              <w:t>Priorix</w:t>
            </w:r>
          </w:p>
        </w:tc>
      </w:tr>
    </w:tbl>
    <w:p w:rsidR="00EF1629" w:rsidRDefault="0089409E">
      <w:bookmarkStart w:id="0" w:name="_GoBack"/>
      <w:bookmarkEnd w:id="0"/>
    </w:p>
    <w:sectPr w:rsidR="00EF16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9E"/>
    <w:rsid w:val="0089409E"/>
    <w:rsid w:val="009044E5"/>
    <w:rsid w:val="00B4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4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94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Crowson Joanne (ELCCG)</dc:creator>
  <cp:lastModifiedBy>Crowson Joanne (ELCCG)</cp:lastModifiedBy>
  <cp:revision>1</cp:revision>
  <dcterms:created xsi:type="dcterms:W3CDTF">2020-07-13T12:33:00Z</dcterms:created>
  <dcterms:modified xsi:type="dcterms:W3CDTF">2020-07-13T12:33:00Z</dcterms:modified>
</cp:coreProperties>
</file>